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596BA721" w:rsidR="008E4916" w:rsidRDefault="002079D6" w:rsidP="003561B7">
      <w:pPr>
        <w:pStyle w:val="SSubjectBlock"/>
        <w:spacing w:before="0" w:after="0"/>
        <w:jc w:val="left"/>
      </w:pPr>
      <w:r>
        <w:t xml:space="preserve"> </w:t>
      </w:r>
      <w:r>
        <w:tab/>
      </w:r>
      <w:r>
        <w:rPr>
          <w:lang w:val="en-US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: Shap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80A27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718C0C82" w14:textId="724B2E7A" w:rsidR="008E4916" w:rsidRDefault="008E4916" w:rsidP="00DC147A">
      <w:pPr>
        <w:pStyle w:val="SSubjectBlock"/>
        <w:spacing w:before="0" w:after="0"/>
      </w:pPr>
    </w:p>
    <w:p w14:paraId="494301F8" w14:textId="1B3A1109" w:rsidR="008A5BB0" w:rsidRDefault="002079D6" w:rsidP="00DC147A">
      <w:pPr>
        <w:pStyle w:val="SSubjectBlock"/>
        <w:spacing w:before="0" w:after="0"/>
      </w:pPr>
      <w:r>
        <w:tab/>
        <w:t xml:space="preserve"> </w:t>
      </w:r>
    </w:p>
    <w:p w14:paraId="25FB38EE" w14:textId="77777777" w:rsidR="008A5BB0" w:rsidRDefault="008A5BB0" w:rsidP="00DC147A">
      <w:pPr>
        <w:pStyle w:val="SSubjectBlock"/>
        <w:spacing w:before="0" w:after="0"/>
      </w:pPr>
    </w:p>
    <w:p w14:paraId="486AA3CB" w14:textId="77777777" w:rsidR="008E4916" w:rsidRDefault="008E4916" w:rsidP="00DC147A">
      <w:pPr>
        <w:pStyle w:val="SSubjectBlock"/>
        <w:spacing w:before="0" w:after="0"/>
      </w:pPr>
    </w:p>
    <w:p w14:paraId="600F279D" w14:textId="07112E6F" w:rsidR="0001553A" w:rsidRPr="001E6C1E" w:rsidRDefault="0001534E" w:rsidP="0073446E">
      <w:pPr>
        <w:pStyle w:val="SSubjectBlock"/>
      </w:pPr>
      <w:r>
        <w:t xml:space="preserve">Résultats de l’Assemblée Générale Annuelle 2024 de Stellantis </w:t>
      </w:r>
    </w:p>
    <w:p w14:paraId="72C0307D" w14:textId="5CC537D8" w:rsidR="000722C7" w:rsidRDefault="000722C7" w:rsidP="000722C7">
      <w:r>
        <w:t xml:space="preserve">AMSTERDAM, le 16 avril 2024 – Stellantis N.V. (« Stellantis ») a annoncé aujourd’hui que l’ensemble des résolutions soumises à l’approbation des actionnaires lors de </w:t>
      </w:r>
      <w:bookmarkStart w:id="0" w:name="_Hlk164150066"/>
      <w:r>
        <w:t>l’</w:t>
      </w:r>
      <w:r w:rsidR="00BB7D00">
        <w:t>A</w:t>
      </w:r>
      <w:r>
        <w:t xml:space="preserve">ssemblée </w:t>
      </w:r>
      <w:r w:rsidR="00BB7D00">
        <w:t>G</w:t>
      </w:r>
      <w:r>
        <w:t>énérale</w:t>
      </w:r>
      <w:r w:rsidR="00BB7D00">
        <w:t xml:space="preserve"> A</w:t>
      </w:r>
      <w:r>
        <w:t xml:space="preserve">nnuelle </w:t>
      </w:r>
      <w:bookmarkEnd w:id="0"/>
      <w:r>
        <w:t>(AGA) qui s’est tenue en présentiel et qui a été retransmise en direct sur le site Internet de Stellantis, ont été adoptées y compris la proposition d’approuver une distribution de dividendes de 4,7 milliards d’euros sur les actions ordinaires.</w:t>
      </w:r>
    </w:p>
    <w:p w14:paraId="52112F95" w14:textId="4CD649B3" w:rsidR="000722C7" w:rsidRDefault="000722C7" w:rsidP="000722C7">
      <w:r>
        <w:t xml:space="preserve">La distribution proposée implique un paiement aux porteurs d’actions ordinaires de 1,55 EUR par action ordinaire en circulation. Les porteurs d’actions ordinaires négociées à la Bourse de New York recevront 1,651680 USD par action ordinaire sur la base du taux de change officiel USD/EUR déclaré par la Banque </w:t>
      </w:r>
      <w:r w:rsidR="00BB7D00">
        <w:t>C</w:t>
      </w:r>
      <w:r>
        <w:t xml:space="preserve">entrale </w:t>
      </w:r>
      <w:r w:rsidR="00BB7D00">
        <w:t>E</w:t>
      </w:r>
      <w:r>
        <w:t>uropéenne le 15 avril 2024. La distribution sera effectuée à partir des bénéfices figurant dans les comptes annuels de 2023. Le calendrier prévu pour les actions ordinaires cotées à la Bourse de New York, Euronext Paris et Euronext Milan sera le suivant : (i) date de détachement le 22 avril 2024, (ii) date d’enregistrement le 23 avril 2024 et (iii) date de paiement le 3 mai 2024.</w:t>
      </w:r>
    </w:p>
    <w:p w14:paraId="785B50DA" w14:textId="564B7472" w:rsidR="000722C7" w:rsidRDefault="000722C7" w:rsidP="000722C7">
      <w:r>
        <w:t xml:space="preserve">En outre, l’AGA a nommé Mme Claudia Parzani comme </w:t>
      </w:r>
      <w:r w:rsidR="00BB7D00">
        <w:t xml:space="preserve">Administrateur </w:t>
      </w:r>
      <w:r>
        <w:t>Non-</w:t>
      </w:r>
      <w:proofErr w:type="spellStart"/>
      <w:r>
        <w:t>executi</w:t>
      </w:r>
      <w:r w:rsidR="00BB7D00">
        <w:t>f</w:t>
      </w:r>
      <w:proofErr w:type="spellEnd"/>
      <w:r>
        <w:t>. Le vote consultatif sur le rapport de rémunération 2023 a été positif à hauteur de </w:t>
      </w:r>
      <w:r w:rsidR="002D14A8">
        <w:t>70.2</w:t>
      </w:r>
      <w:r w:rsidR="00840BA8">
        <w:t> </w:t>
      </w:r>
      <w:r w:rsidR="002D14A8">
        <w:t>%</w:t>
      </w:r>
      <w:r>
        <w:t>.</w:t>
      </w:r>
    </w:p>
    <w:p w14:paraId="13BCB6D9" w14:textId="787094BB" w:rsidR="0051733D" w:rsidRDefault="000722C7" w:rsidP="0051733D">
      <w:pPr>
        <w:rPr>
          <w:szCs w:val="24"/>
        </w:rPr>
      </w:pPr>
      <w:r>
        <w:t>Les détails des résolutions soumises à l</w:t>
      </w:r>
      <w:r w:rsidR="00065A59">
        <w:t>’</w:t>
      </w:r>
      <w:r>
        <w:t>AGA sont disponibles sur le site Internet de l</w:t>
      </w:r>
      <w:r w:rsidR="00BB7D00">
        <w:t xml:space="preserve">’entreprise </w:t>
      </w:r>
      <w:r>
        <w:t>(</w:t>
      </w:r>
      <w:hyperlink r:id="rId8" w:history="1">
        <w:r>
          <w:rPr>
            <w:rStyle w:val="Hyperlink"/>
            <w:rFonts w:ascii="Encode Sans ExpandedLight" w:hAnsi="Encode Sans ExpandedLight"/>
          </w:rPr>
          <w:t>www.stellantis.com</w:t>
        </w:r>
      </w:hyperlink>
      <w:r>
        <w:t>).</w:t>
      </w:r>
    </w:p>
    <w:p w14:paraId="653DA2B4" w14:textId="43D9B844" w:rsidR="00BB7D00" w:rsidRDefault="0051733D" w:rsidP="00B454DA">
      <w:pPr>
        <w:jc w:val="center"/>
      </w:pPr>
      <w:r>
        <w:t># # #</w:t>
      </w:r>
    </w:p>
    <w:p w14:paraId="127ED1FC" w14:textId="77777777" w:rsidR="00BB7D00" w:rsidRDefault="00BB7D00">
      <w:pPr>
        <w:spacing w:after="0"/>
        <w:jc w:val="left"/>
      </w:pPr>
      <w:r>
        <w:br w:type="page"/>
      </w:r>
    </w:p>
    <w:p w14:paraId="5A888EC3" w14:textId="77777777" w:rsidR="0051733D" w:rsidRPr="0051733D" w:rsidRDefault="0051733D" w:rsidP="00B454DA">
      <w:pPr>
        <w:jc w:val="center"/>
        <w:rPr>
          <w:szCs w:val="24"/>
        </w:rPr>
      </w:pPr>
    </w:p>
    <w:p w14:paraId="5C39AA0C" w14:textId="4ED1B89A" w:rsidR="004B2ECD" w:rsidRPr="0042057D" w:rsidRDefault="00386E60" w:rsidP="005E2869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>
        <w:rPr>
          <w:rFonts w:asciiTheme="majorHAnsi" w:hAnsiTheme="majorHAnsi"/>
          <w:i/>
          <w:color w:val="243782" w:themeColor="text2"/>
        </w:rPr>
        <w:t>À propos de Stellantis</w:t>
      </w:r>
    </w:p>
    <w:p w14:paraId="4E72CB4E" w14:textId="1206CC63" w:rsidR="000D69A7" w:rsidRPr="002D14A8" w:rsidRDefault="006B7904" w:rsidP="000D69A7">
      <w:pPr>
        <w:rPr>
          <w:rFonts w:eastAsia="Encode Sans" w:cs="Encode Sans"/>
          <w:i/>
          <w:color w:val="222222"/>
          <w:sz w:val="28"/>
          <w:szCs w:val="28"/>
          <w:highlight w:val="white"/>
        </w:rPr>
      </w:pPr>
      <w:r w:rsidRPr="002D14A8">
        <w:rPr>
          <w:i/>
          <w:color w:val="222222"/>
          <w:szCs w:val="18"/>
        </w:rPr>
        <w:t xml:space="preserve">Stellantis N.V. (NYSE : STLA / Euronext Milan : STLAM / Euronext Paris : STLAP) est l’un des principaux constructeurs automobiles au monde, dont l’objectif est d’offrir à tous une liberté de mobilité propre, sûre et abordable. Connu pour son portefeuille unique de marques emblématiques et innovantes, notamment </w:t>
      </w:r>
      <w:proofErr w:type="spellStart"/>
      <w:r w:rsidRPr="002D14A8">
        <w:rPr>
          <w:i/>
          <w:color w:val="222222"/>
          <w:szCs w:val="18"/>
        </w:rPr>
        <w:t>Abarth</w:t>
      </w:r>
      <w:proofErr w:type="spellEnd"/>
      <w:r w:rsidRPr="002D14A8">
        <w:rPr>
          <w:i/>
          <w:color w:val="222222"/>
          <w:szCs w:val="18"/>
        </w:rPr>
        <w:t xml:space="preserve">, Alfa Romeo, Chrysler, Citroën, Dodge, DS Automobiles, </w:t>
      </w:r>
      <w:r w:rsidR="00065A59">
        <w:rPr>
          <w:i/>
          <w:color w:val="222222"/>
          <w:szCs w:val="18"/>
        </w:rPr>
        <w:t>FIAT</w:t>
      </w:r>
      <w:r w:rsidRPr="002D14A8">
        <w:rPr>
          <w:i/>
          <w:color w:val="222222"/>
          <w:szCs w:val="18"/>
        </w:rPr>
        <w:t>, Jeep</w:t>
      </w:r>
      <w:r w:rsidRPr="002D14A8">
        <w:rPr>
          <w:i/>
          <w:color w:val="222222"/>
          <w:szCs w:val="18"/>
          <w:vertAlign w:val="subscript"/>
        </w:rPr>
        <w:t>®</w:t>
      </w:r>
      <w:r w:rsidRPr="002D14A8">
        <w:rPr>
          <w:i/>
          <w:color w:val="222222"/>
          <w:szCs w:val="18"/>
        </w:rPr>
        <w:t xml:space="preserve">, Lancia, Maserati, Opel, Peugeot, Ram, Vauxhall, Free2move et </w:t>
      </w:r>
      <w:proofErr w:type="spellStart"/>
      <w:r w:rsidRPr="002D14A8">
        <w:rPr>
          <w:i/>
          <w:color w:val="222222"/>
          <w:szCs w:val="18"/>
        </w:rPr>
        <w:t>Leasys</w:t>
      </w:r>
      <w:proofErr w:type="spellEnd"/>
      <w:r w:rsidRPr="002D14A8">
        <w:rPr>
          <w:i/>
          <w:color w:val="222222"/>
          <w:szCs w:val="18"/>
        </w:rPr>
        <w:t xml:space="preserve">. Stellantis est aujourd’hui dans la mise en œuvre son plan stratégique audacieux Dare Forward 2030, afin de devenir une ‘tech company’ de mobilité et d’atteindre la neutralité carbone d’ici à 2038, avec un pourcentage de compensation des émissions résiduelles à un seul chiffre, tout en créant de la valeur ajoutée pour l’ensemble des parties prenantes. Pour en savoir plus : </w:t>
      </w:r>
      <w:hyperlink r:id="rId9" w:history="1">
        <w:r w:rsidRPr="002D14A8">
          <w:rPr>
            <w:rStyle w:val="Hyperlink"/>
            <w:i/>
            <w:szCs w:val="18"/>
          </w:rPr>
          <w:t>www.stellantis.com</w:t>
        </w:r>
      </w:hyperlink>
      <w:r w:rsidRPr="002D14A8">
        <w:rPr>
          <w:i/>
          <w:color w:val="222222"/>
          <w:sz w:val="28"/>
          <w:szCs w:val="18"/>
          <w:highlight w:val="white"/>
        </w:rPr>
        <w:t>.</w:t>
      </w:r>
    </w:p>
    <w:tbl>
      <w:tblPr>
        <w:tblStyle w:val="TableGrid"/>
        <w:tblW w:w="53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759"/>
        <w:gridCol w:w="594"/>
        <w:gridCol w:w="1502"/>
        <w:gridCol w:w="586"/>
        <w:gridCol w:w="1483"/>
        <w:gridCol w:w="604"/>
        <w:gridCol w:w="1714"/>
      </w:tblGrid>
      <w:tr w:rsidR="00892815" w:rsidRPr="008E226B" w14:paraId="28E29521" w14:textId="77777777" w:rsidTr="000D69A7">
        <w:trPr>
          <w:trHeight w:val="729"/>
        </w:trPr>
        <w:tc>
          <w:tcPr>
            <w:tcW w:w="689" w:type="dxa"/>
            <w:vAlign w:val="center"/>
          </w:tcPr>
          <w:p w14:paraId="3EFC03EB" w14:textId="32F378C4" w:rsidR="00892815" w:rsidRPr="008E226B" w:rsidRDefault="00BB0910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64384" behindDoc="0" locked="0" layoutInCell="1" allowOverlap="1" wp14:anchorId="55CBAE03" wp14:editId="7ED0CA5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-5715</wp:posOffset>
                  </wp:positionV>
                  <wp:extent cx="291465" cy="291465"/>
                  <wp:effectExtent l="0" t="0" r="0" b="0"/>
                  <wp:wrapNone/>
                  <wp:docPr id="18" name="Picture 18" descr="Une image contenant cercle, symbole, Graphique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cercle, symbole, Graphique, Police&#10;&#10;Description générée automatiquemen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F1CAB" w14:textId="6ECDE19E" w:rsidR="00892815" w:rsidRPr="008E226B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  <w:p w14:paraId="561AB358" w14:textId="6A21EFA5" w:rsidR="00892815" w:rsidRPr="008E226B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759" w:type="dxa"/>
          </w:tcPr>
          <w:p w14:paraId="595F123B" w14:textId="28BB9768" w:rsidR="00892815" w:rsidRPr="008E226B" w:rsidRDefault="003E79AD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431F87">
                <w:rPr>
                  <w:rStyle w:val="Hyperlink"/>
                  <w:sz w:val="22"/>
                </w:rPr>
                <w:t>@Stellantis</w:t>
              </w:r>
            </w:hyperlink>
          </w:p>
        </w:tc>
        <w:tc>
          <w:tcPr>
            <w:tcW w:w="594" w:type="dxa"/>
            <w:vAlign w:val="center"/>
          </w:tcPr>
          <w:p w14:paraId="2F4B446A" w14:textId="3FAC3DBC" w:rsidR="00892815" w:rsidRPr="008E226B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DC91DAD" wp14:editId="6376970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-351790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14:paraId="758C6E52" w14:textId="0552800B" w:rsidR="00892815" w:rsidRPr="008E226B" w:rsidRDefault="003E79AD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431F87">
                <w:rPr>
                  <w:rStyle w:val="Hyperlink"/>
                  <w:sz w:val="22"/>
                </w:rPr>
                <w:t>Stellantis</w:t>
              </w:r>
            </w:hyperlink>
          </w:p>
        </w:tc>
        <w:tc>
          <w:tcPr>
            <w:tcW w:w="586" w:type="dxa"/>
            <w:vAlign w:val="center"/>
          </w:tcPr>
          <w:p w14:paraId="27713B7F" w14:textId="4906DA5F" w:rsidR="00892815" w:rsidRPr="008E226B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6F44714" wp14:editId="6D89B38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-351790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Picture 1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</w:tcPr>
          <w:p w14:paraId="3E044CC8" w14:textId="1395A1EA" w:rsidR="00892815" w:rsidRPr="008E226B" w:rsidRDefault="003E79AD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431F87">
                <w:rPr>
                  <w:rStyle w:val="Hyperlink"/>
                  <w:sz w:val="22"/>
                </w:rPr>
                <w:t>Stellantis</w:t>
              </w:r>
            </w:hyperlink>
          </w:p>
        </w:tc>
        <w:tc>
          <w:tcPr>
            <w:tcW w:w="604" w:type="dxa"/>
            <w:vAlign w:val="center"/>
          </w:tcPr>
          <w:p w14:paraId="46025FBC" w14:textId="6E7148E6" w:rsidR="00892815" w:rsidRPr="008E226B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B0696EB" wp14:editId="4A0D68B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-353060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Picture 1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14:paraId="641F8949" w14:textId="681D5C5A" w:rsidR="00892815" w:rsidRPr="008E226B" w:rsidRDefault="003E79AD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0" w:history="1">
              <w:r w:rsidR="00431F87">
                <w:rPr>
                  <w:rStyle w:val="Hyperlink"/>
                  <w:sz w:val="22"/>
                </w:rPr>
                <w:t>Stellantis</w:t>
              </w:r>
            </w:hyperlink>
          </w:p>
        </w:tc>
      </w:tr>
      <w:tr w:rsidR="00892815" w:rsidRPr="00684098" w14:paraId="644DB7B0" w14:textId="77777777" w:rsidTr="000D69A7">
        <w:tblPrEx>
          <w:tblCellMar>
            <w:right w:w="57" w:type="dxa"/>
          </w:tblCellMar>
        </w:tblPrEx>
        <w:trPr>
          <w:trHeight w:val="3150"/>
        </w:trPr>
        <w:tc>
          <w:tcPr>
            <w:tcW w:w="8931" w:type="dxa"/>
            <w:gridSpan w:val="8"/>
          </w:tcPr>
          <w:p w14:paraId="177FE423" w14:textId="77777777" w:rsidR="00892815" w:rsidRPr="008E226B" w:rsidRDefault="00892815" w:rsidP="0089281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inline distT="0" distB="0" distL="0" distR="0" wp14:anchorId="61357E8E" wp14:editId="5C44F25D">
                      <wp:extent cx="432000" cy="61913"/>
                      <wp:effectExtent l="0" t="0" r="6350" b="0"/>
                      <wp:docPr id="17" name="Freeform: 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DB977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05FE1B1" w14:textId="11AFE8D5" w:rsidR="00892815" w:rsidRPr="000D69A7" w:rsidRDefault="00892815" w:rsidP="00892815">
            <w:pPr>
              <w:pStyle w:val="SContact-Title"/>
              <w:spacing w:after="0" w:line="240" w:lineRule="auto"/>
              <w:rPr>
                <w:szCs w:val="24"/>
              </w:rPr>
            </w:pPr>
            <w:bookmarkStart w:id="1" w:name="_Hlk61784883"/>
            <w:r>
              <w:t>Pour plus d’informations, merci de contacter :</w:t>
            </w:r>
          </w:p>
          <w:p w14:paraId="2D39D33B" w14:textId="6826628E" w:rsidR="00892815" w:rsidRPr="00431F87" w:rsidRDefault="003E79AD" w:rsidP="00892815">
            <w:pPr>
              <w:pStyle w:val="SContact-Sendersinfo"/>
              <w:rPr>
                <w:sz w:val="22"/>
                <w:szCs w:val="24"/>
                <w:lang w:val="it-IT"/>
              </w:rPr>
            </w:pPr>
            <w:sdt>
              <w:sdtPr>
                <w:rPr>
                  <w:sz w:val="22"/>
                  <w:szCs w:val="24"/>
                </w:rPr>
                <w:id w:val="874809613"/>
                <w:placeholder>
                  <w:docPart w:val="ED10F7AE85564A47AA9A988DA8B147AC"/>
                </w:placeholder>
                <w15:appearance w15:val="hidden"/>
              </w:sdtPr>
              <w:sdtEndPr/>
              <w:sdtContent>
                <w:proofErr w:type="spellStart"/>
                <w:r w:rsidR="00431F87" w:rsidRPr="00431F87">
                  <w:rPr>
                    <w:sz w:val="22"/>
                    <w:lang w:val="it-IT"/>
                  </w:rPr>
                  <w:t>Fernão</w:t>
                </w:r>
                <w:proofErr w:type="spellEnd"/>
                <w:r w:rsidR="00431F87" w:rsidRPr="00431F87">
                  <w:rPr>
                    <w:sz w:val="22"/>
                    <w:lang w:val="it-IT"/>
                  </w:rPr>
                  <w:t xml:space="preserve"> SILVEIRA</w:t>
                </w:r>
              </w:sdtContent>
            </w:sdt>
            <w:r w:rsidR="00431F87" w:rsidRPr="00431F87">
              <w:rPr>
                <w:sz w:val="22"/>
                <w:lang w:val="it-IT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204140883"/>
                <w:placeholder>
                  <w:docPart w:val="5A1EC6C7FBA84FE3B7280D245CB780F0"/>
                </w:placeholder>
                <w15:appearance w15:val="hidden"/>
              </w:sdtPr>
              <w:sdtEndPr/>
              <w:sdtContent>
                <w:r w:rsidR="00431F87" w:rsidRPr="00431F87">
                  <w:rPr>
                    <w:rFonts w:asciiTheme="minorHAnsi" w:hAnsiTheme="minorHAnsi"/>
                    <w:sz w:val="22"/>
                    <w:lang w:val="it-IT"/>
                  </w:rPr>
                  <w:t>+31 6 43 25 43 41 – fernao.silveira@stellantis.com</w:t>
                </w:r>
              </w:sdtContent>
            </w:sdt>
          </w:p>
          <w:p w14:paraId="0820AD1E" w14:textId="7B10F417" w:rsidR="00892815" w:rsidRPr="00431F87" w:rsidRDefault="00892815" w:rsidP="00892815">
            <w:pPr>
              <w:pStyle w:val="SFooter-Emailwebsite"/>
              <w:spacing w:before="0" w:after="0" w:line="240" w:lineRule="auto"/>
              <w:rPr>
                <w:szCs w:val="24"/>
                <w:lang w:val="it-IT"/>
              </w:rPr>
            </w:pPr>
          </w:p>
          <w:p w14:paraId="0E779420" w14:textId="2B9E7FED" w:rsidR="00892815" w:rsidRPr="00431F87" w:rsidRDefault="003E79AD" w:rsidP="00892815">
            <w:pPr>
              <w:pStyle w:val="SFooter-Emailwebsite"/>
              <w:spacing w:before="0" w:after="0" w:line="240" w:lineRule="auto"/>
              <w:rPr>
                <w:szCs w:val="24"/>
                <w:lang w:val="it-IT"/>
              </w:rPr>
            </w:pPr>
            <w:hyperlink r:id="rId21" w:history="1">
              <w:r w:rsidR="00431F87" w:rsidRPr="00431F87">
                <w:rPr>
                  <w:rStyle w:val="Hyperlink"/>
                  <w:lang w:val="it-IT"/>
                </w:rPr>
                <w:t>communications@stellantis.com</w:t>
              </w:r>
            </w:hyperlink>
            <w:r w:rsidR="00431F87" w:rsidRPr="00431F87">
              <w:rPr>
                <w:lang w:val="it-IT"/>
              </w:rPr>
              <w:br/>
            </w:r>
            <w:hyperlink r:id="rId22" w:history="1">
              <w:r w:rsidR="00431F87" w:rsidRPr="00431F87">
                <w:rPr>
                  <w:rStyle w:val="Hyperlink"/>
                  <w:lang w:val="it-IT"/>
                </w:rPr>
                <w:t>www.stellantis.com</w:t>
              </w:r>
            </w:hyperlink>
            <w:bookmarkEnd w:id="1"/>
          </w:p>
          <w:p w14:paraId="1C7A5709" w14:textId="77777777" w:rsidR="00892815" w:rsidRPr="00431F87" w:rsidRDefault="00892815" w:rsidP="00892815">
            <w:pPr>
              <w:pStyle w:val="SFooter-Emailwebsite"/>
              <w:spacing w:before="0" w:after="0" w:line="240" w:lineRule="auto"/>
              <w:rPr>
                <w:sz w:val="22"/>
                <w:szCs w:val="22"/>
                <w:lang w:val="it-IT"/>
              </w:rPr>
            </w:pPr>
          </w:p>
          <w:p w14:paraId="1E2749FA" w14:textId="7064B7E4" w:rsidR="00892815" w:rsidRPr="00431F87" w:rsidRDefault="00892815" w:rsidP="00892815">
            <w:pPr>
              <w:pStyle w:val="SFooter-Emailwebsite"/>
              <w:rPr>
                <w:sz w:val="22"/>
                <w:szCs w:val="22"/>
                <w:lang w:val="it-IT"/>
              </w:rPr>
            </w:pPr>
          </w:p>
        </w:tc>
      </w:tr>
    </w:tbl>
    <w:p w14:paraId="5E33B5DD" w14:textId="77777777" w:rsidR="005D2EA9" w:rsidRPr="00431F87" w:rsidRDefault="005D2EA9" w:rsidP="0011515F">
      <w:pPr>
        <w:spacing w:after="0"/>
        <w:jc w:val="left"/>
        <w:rPr>
          <w:lang w:val="it-IT"/>
        </w:rPr>
      </w:pPr>
    </w:p>
    <w:sectPr w:rsidR="005D2EA9" w:rsidRPr="00431F87" w:rsidSect="007E6618">
      <w:footerReference w:type="default" r:id="rId23"/>
      <w:headerReference w:type="first" r:id="rId2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1718" w14:textId="77777777" w:rsidR="00694086" w:rsidRDefault="00694086" w:rsidP="008D3E4C">
      <w:r>
        <w:separator/>
      </w:r>
    </w:p>
  </w:endnote>
  <w:endnote w:type="continuationSeparator" w:id="0">
    <w:p w14:paraId="498C9A90" w14:textId="77777777" w:rsidR="00694086" w:rsidRDefault="00694086" w:rsidP="008D3E4C">
      <w:r>
        <w:continuationSeparator/>
      </w:r>
    </w:p>
  </w:endnote>
  <w:endnote w:type="continuationNotice" w:id="1">
    <w:p w14:paraId="03B5243A" w14:textId="77777777" w:rsidR="00694086" w:rsidRDefault="006940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20CEC64-8D88-4002-9820-A7C0200DC044}"/>
    <w:embedBold r:id="rId2" w:fontKey="{9BEFEEDF-6E25-4B27-9EE7-9314E4735368}"/>
    <w:embedItalic r:id="rId3" w:fontKey="{ED111E46-245B-4D53-BFB8-D54A7A847B7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CF79F74C-287B-4F83-B7A6-E06AF56EB374}"/>
    <w:embedItalic r:id="rId5" w:fontKey="{BFD2305F-76EA-4ACF-AEA2-E5AA4FA9F1E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7A8056AE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431F87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140D" w14:textId="77777777" w:rsidR="00694086" w:rsidRDefault="00694086" w:rsidP="008D3E4C">
      <w:r>
        <w:separator/>
      </w:r>
    </w:p>
  </w:footnote>
  <w:footnote w:type="continuationSeparator" w:id="0">
    <w:p w14:paraId="0D57FACA" w14:textId="77777777" w:rsidR="00694086" w:rsidRDefault="00694086" w:rsidP="008D3E4C">
      <w:r>
        <w:continuationSeparator/>
      </w:r>
    </w:p>
  </w:footnote>
  <w:footnote w:type="continuationNotice" w:id="1">
    <w:p w14:paraId="4F08628A" w14:textId="77777777" w:rsidR="00694086" w:rsidRDefault="006940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306C65FB">
              <wp:simplePos x="0" y="0"/>
              <wp:positionH relativeFrom="page">
                <wp:posOffset>445770</wp:posOffset>
              </wp:positionH>
              <wp:positionV relativeFrom="page">
                <wp:align>top</wp:align>
              </wp:positionV>
              <wp:extent cx="302260" cy="2940685"/>
              <wp:effectExtent l="0" t="0" r="2540" b="0"/>
              <wp:wrapNone/>
              <wp:docPr id="3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02411" cy="294071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13F74AFE" w:rsidR="00A33E8D" w:rsidRPr="00150AD4" w:rsidRDefault="00431F87" w:rsidP="008D3E4C">
                            <w:pPr>
                              <w:pStyle w:val="SPRESSRELEASESTRIP"/>
                            </w:pPr>
                            <w:r>
                              <w:t xml:space="preserve">COMMUNIQUÉ </w:t>
                            </w:r>
                            <w:r w:rsidR="0001534E">
                              <w:t>DE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 3" o:spid="_x0000_s1026" style="position:absolute;margin-left:35.1pt;margin-top:0;width:23.8pt;height:231.55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13F74AFE" w:rsidR="00A33E8D" w:rsidRPr="00150AD4" w:rsidRDefault="00431F87" w:rsidP="008D3E4C">
                      <w:pPr>
                        <w:pStyle w:val="SPRESSRELEASESTRIP"/>
                      </w:pPr>
                      <w:r>
                        <w:t xml:space="preserve">COMMUNIQUÉ </w:t>
                      </w:r>
                      <w:r w:rsidR="0001534E">
                        <w:t>DE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15579">
    <w:abstractNumId w:val="8"/>
  </w:num>
  <w:num w:numId="2" w16cid:durableId="783303291">
    <w:abstractNumId w:val="3"/>
  </w:num>
  <w:num w:numId="3" w16cid:durableId="114914798">
    <w:abstractNumId w:val="2"/>
  </w:num>
  <w:num w:numId="4" w16cid:durableId="813183537">
    <w:abstractNumId w:val="1"/>
  </w:num>
  <w:num w:numId="5" w16cid:durableId="1128864391">
    <w:abstractNumId w:val="0"/>
  </w:num>
  <w:num w:numId="6" w16cid:durableId="1783919797">
    <w:abstractNumId w:val="9"/>
  </w:num>
  <w:num w:numId="7" w16cid:durableId="1062943004">
    <w:abstractNumId w:val="7"/>
  </w:num>
  <w:num w:numId="8" w16cid:durableId="555287468">
    <w:abstractNumId w:val="6"/>
  </w:num>
  <w:num w:numId="9" w16cid:durableId="524707181">
    <w:abstractNumId w:val="5"/>
  </w:num>
  <w:num w:numId="10" w16cid:durableId="295068681">
    <w:abstractNumId w:val="4"/>
  </w:num>
  <w:num w:numId="11" w16cid:durableId="88934632">
    <w:abstractNumId w:val="12"/>
  </w:num>
  <w:num w:numId="12" w16cid:durableId="550313658">
    <w:abstractNumId w:val="11"/>
  </w:num>
  <w:num w:numId="13" w16cid:durableId="1794519016">
    <w:abstractNumId w:val="10"/>
  </w:num>
  <w:num w:numId="14" w16cid:durableId="1948149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embedSystem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1534E"/>
    <w:rsid w:val="0001553A"/>
    <w:rsid w:val="00015A0D"/>
    <w:rsid w:val="00025664"/>
    <w:rsid w:val="000405F6"/>
    <w:rsid w:val="0005045A"/>
    <w:rsid w:val="00057C0E"/>
    <w:rsid w:val="00065A59"/>
    <w:rsid w:val="0006616C"/>
    <w:rsid w:val="000722C7"/>
    <w:rsid w:val="00087566"/>
    <w:rsid w:val="000A3BAA"/>
    <w:rsid w:val="000B1892"/>
    <w:rsid w:val="000B5F73"/>
    <w:rsid w:val="000D69A7"/>
    <w:rsid w:val="000E1E4B"/>
    <w:rsid w:val="000E4DFE"/>
    <w:rsid w:val="0010635F"/>
    <w:rsid w:val="0011515F"/>
    <w:rsid w:val="00126E5A"/>
    <w:rsid w:val="00132F6C"/>
    <w:rsid w:val="00150AD4"/>
    <w:rsid w:val="00167FF2"/>
    <w:rsid w:val="001A32E8"/>
    <w:rsid w:val="001B591C"/>
    <w:rsid w:val="001C1F7B"/>
    <w:rsid w:val="001C34A1"/>
    <w:rsid w:val="001D168B"/>
    <w:rsid w:val="001E1348"/>
    <w:rsid w:val="001E2B3D"/>
    <w:rsid w:val="001E6C1E"/>
    <w:rsid w:val="001F4703"/>
    <w:rsid w:val="002079D6"/>
    <w:rsid w:val="002206CE"/>
    <w:rsid w:val="0022588D"/>
    <w:rsid w:val="00232D09"/>
    <w:rsid w:val="0023542B"/>
    <w:rsid w:val="00242220"/>
    <w:rsid w:val="00264F35"/>
    <w:rsid w:val="00266D61"/>
    <w:rsid w:val="00270BB3"/>
    <w:rsid w:val="00273802"/>
    <w:rsid w:val="002836DD"/>
    <w:rsid w:val="00287101"/>
    <w:rsid w:val="00292B19"/>
    <w:rsid w:val="00293E0C"/>
    <w:rsid w:val="002A05FE"/>
    <w:rsid w:val="002A06E3"/>
    <w:rsid w:val="002B147F"/>
    <w:rsid w:val="002C508D"/>
    <w:rsid w:val="002C5A57"/>
    <w:rsid w:val="002D14A8"/>
    <w:rsid w:val="002E7A47"/>
    <w:rsid w:val="002F645E"/>
    <w:rsid w:val="00310F1B"/>
    <w:rsid w:val="00316547"/>
    <w:rsid w:val="00334E7C"/>
    <w:rsid w:val="003561B7"/>
    <w:rsid w:val="003864AD"/>
    <w:rsid w:val="00386E60"/>
    <w:rsid w:val="00394772"/>
    <w:rsid w:val="003B4199"/>
    <w:rsid w:val="003D6F45"/>
    <w:rsid w:val="003D7C83"/>
    <w:rsid w:val="003E2354"/>
    <w:rsid w:val="003E3A4D"/>
    <w:rsid w:val="003E68CC"/>
    <w:rsid w:val="003E727D"/>
    <w:rsid w:val="003E79AD"/>
    <w:rsid w:val="003F2BDD"/>
    <w:rsid w:val="003F79C6"/>
    <w:rsid w:val="004022B4"/>
    <w:rsid w:val="00405F22"/>
    <w:rsid w:val="00411E38"/>
    <w:rsid w:val="00411F8A"/>
    <w:rsid w:val="0042057D"/>
    <w:rsid w:val="00422700"/>
    <w:rsid w:val="00425677"/>
    <w:rsid w:val="00427897"/>
    <w:rsid w:val="00427ABE"/>
    <w:rsid w:val="00431F87"/>
    <w:rsid w:val="00433EDD"/>
    <w:rsid w:val="00436378"/>
    <w:rsid w:val="0044219E"/>
    <w:rsid w:val="0045216F"/>
    <w:rsid w:val="00452471"/>
    <w:rsid w:val="004532D9"/>
    <w:rsid w:val="00453C1A"/>
    <w:rsid w:val="00466DD1"/>
    <w:rsid w:val="0046706D"/>
    <w:rsid w:val="00467ACE"/>
    <w:rsid w:val="00473060"/>
    <w:rsid w:val="00484D60"/>
    <w:rsid w:val="0048502E"/>
    <w:rsid w:val="00497590"/>
    <w:rsid w:val="004978C7"/>
    <w:rsid w:val="00497E77"/>
    <w:rsid w:val="004A4B04"/>
    <w:rsid w:val="004B2ECD"/>
    <w:rsid w:val="004B7B1B"/>
    <w:rsid w:val="004D61EA"/>
    <w:rsid w:val="004D7B49"/>
    <w:rsid w:val="004E0544"/>
    <w:rsid w:val="004E7153"/>
    <w:rsid w:val="004F3299"/>
    <w:rsid w:val="00515FCC"/>
    <w:rsid w:val="0051733D"/>
    <w:rsid w:val="00525452"/>
    <w:rsid w:val="00530A1C"/>
    <w:rsid w:val="00544345"/>
    <w:rsid w:val="0055479C"/>
    <w:rsid w:val="005557B4"/>
    <w:rsid w:val="00562D3D"/>
    <w:rsid w:val="005841CD"/>
    <w:rsid w:val="005847BB"/>
    <w:rsid w:val="0059213B"/>
    <w:rsid w:val="00596F3A"/>
    <w:rsid w:val="005A3B5A"/>
    <w:rsid w:val="005B024F"/>
    <w:rsid w:val="005C775F"/>
    <w:rsid w:val="005D2EA9"/>
    <w:rsid w:val="005E2869"/>
    <w:rsid w:val="005E49DE"/>
    <w:rsid w:val="005E60F1"/>
    <w:rsid w:val="005F2120"/>
    <w:rsid w:val="005F2771"/>
    <w:rsid w:val="005F4A97"/>
    <w:rsid w:val="00605D9C"/>
    <w:rsid w:val="0061682B"/>
    <w:rsid w:val="00620B45"/>
    <w:rsid w:val="00622991"/>
    <w:rsid w:val="006456BE"/>
    <w:rsid w:val="00646166"/>
    <w:rsid w:val="00655A10"/>
    <w:rsid w:val="00680E35"/>
    <w:rsid w:val="00682310"/>
    <w:rsid w:val="00684098"/>
    <w:rsid w:val="00694086"/>
    <w:rsid w:val="006A36EF"/>
    <w:rsid w:val="006B5C7E"/>
    <w:rsid w:val="006B7904"/>
    <w:rsid w:val="006E27BF"/>
    <w:rsid w:val="006F3DEC"/>
    <w:rsid w:val="006F4FA0"/>
    <w:rsid w:val="006F6FA2"/>
    <w:rsid w:val="00711C4C"/>
    <w:rsid w:val="00716069"/>
    <w:rsid w:val="00727669"/>
    <w:rsid w:val="0073360D"/>
    <w:rsid w:val="0073446E"/>
    <w:rsid w:val="00756CE3"/>
    <w:rsid w:val="00761B4E"/>
    <w:rsid w:val="00782EE2"/>
    <w:rsid w:val="00793356"/>
    <w:rsid w:val="007966E9"/>
    <w:rsid w:val="007A46E2"/>
    <w:rsid w:val="007B2456"/>
    <w:rsid w:val="007E22B0"/>
    <w:rsid w:val="007E317D"/>
    <w:rsid w:val="007E387D"/>
    <w:rsid w:val="007E6618"/>
    <w:rsid w:val="007F6BEC"/>
    <w:rsid w:val="0080313B"/>
    <w:rsid w:val="00805FAA"/>
    <w:rsid w:val="0081236F"/>
    <w:rsid w:val="008124BD"/>
    <w:rsid w:val="0081259C"/>
    <w:rsid w:val="00815B14"/>
    <w:rsid w:val="00825DF9"/>
    <w:rsid w:val="00826B1B"/>
    <w:rsid w:val="0084003D"/>
    <w:rsid w:val="00840BA8"/>
    <w:rsid w:val="00844956"/>
    <w:rsid w:val="0085776A"/>
    <w:rsid w:val="00860524"/>
    <w:rsid w:val="0086416D"/>
    <w:rsid w:val="00864D85"/>
    <w:rsid w:val="008660BD"/>
    <w:rsid w:val="00871608"/>
    <w:rsid w:val="00877117"/>
    <w:rsid w:val="00892815"/>
    <w:rsid w:val="00892C55"/>
    <w:rsid w:val="008A340C"/>
    <w:rsid w:val="008A5103"/>
    <w:rsid w:val="008A5BB0"/>
    <w:rsid w:val="008A6F97"/>
    <w:rsid w:val="008B4CD5"/>
    <w:rsid w:val="008B718E"/>
    <w:rsid w:val="008C4975"/>
    <w:rsid w:val="008D3E4C"/>
    <w:rsid w:val="008E226B"/>
    <w:rsid w:val="008E4916"/>
    <w:rsid w:val="008F0F07"/>
    <w:rsid w:val="008F2A13"/>
    <w:rsid w:val="008F40ED"/>
    <w:rsid w:val="0091320A"/>
    <w:rsid w:val="00915B1C"/>
    <w:rsid w:val="00951C73"/>
    <w:rsid w:val="009615D9"/>
    <w:rsid w:val="00986A10"/>
    <w:rsid w:val="00986ABE"/>
    <w:rsid w:val="00992BE1"/>
    <w:rsid w:val="009968C5"/>
    <w:rsid w:val="009A12F3"/>
    <w:rsid w:val="009A23AB"/>
    <w:rsid w:val="009B6F90"/>
    <w:rsid w:val="009C1909"/>
    <w:rsid w:val="009C33F1"/>
    <w:rsid w:val="009D180E"/>
    <w:rsid w:val="009D79F4"/>
    <w:rsid w:val="009F2291"/>
    <w:rsid w:val="00A0245A"/>
    <w:rsid w:val="00A17729"/>
    <w:rsid w:val="00A20CE8"/>
    <w:rsid w:val="00A22139"/>
    <w:rsid w:val="00A248BF"/>
    <w:rsid w:val="00A33E8D"/>
    <w:rsid w:val="00A47017"/>
    <w:rsid w:val="00A6488D"/>
    <w:rsid w:val="00A64F3B"/>
    <w:rsid w:val="00A716FD"/>
    <w:rsid w:val="00A748DE"/>
    <w:rsid w:val="00A85718"/>
    <w:rsid w:val="00A87390"/>
    <w:rsid w:val="00AA1139"/>
    <w:rsid w:val="00AA423D"/>
    <w:rsid w:val="00AB60E2"/>
    <w:rsid w:val="00AC2736"/>
    <w:rsid w:val="00AD511F"/>
    <w:rsid w:val="00B01C28"/>
    <w:rsid w:val="00B32F4C"/>
    <w:rsid w:val="00B454DA"/>
    <w:rsid w:val="00B45991"/>
    <w:rsid w:val="00B53F82"/>
    <w:rsid w:val="00B55909"/>
    <w:rsid w:val="00B64F18"/>
    <w:rsid w:val="00B75CE7"/>
    <w:rsid w:val="00B862DC"/>
    <w:rsid w:val="00B87BB6"/>
    <w:rsid w:val="00B92FB1"/>
    <w:rsid w:val="00B96799"/>
    <w:rsid w:val="00B97DAC"/>
    <w:rsid w:val="00BA2313"/>
    <w:rsid w:val="00BB0910"/>
    <w:rsid w:val="00BB7D00"/>
    <w:rsid w:val="00BC187D"/>
    <w:rsid w:val="00BF245F"/>
    <w:rsid w:val="00BF35E4"/>
    <w:rsid w:val="00BF7718"/>
    <w:rsid w:val="00C01574"/>
    <w:rsid w:val="00C0321D"/>
    <w:rsid w:val="00C05C3E"/>
    <w:rsid w:val="00C06E8E"/>
    <w:rsid w:val="00C10192"/>
    <w:rsid w:val="00C10E75"/>
    <w:rsid w:val="00C17EAB"/>
    <w:rsid w:val="00C21692"/>
    <w:rsid w:val="00C21B90"/>
    <w:rsid w:val="00C31F14"/>
    <w:rsid w:val="00C363C0"/>
    <w:rsid w:val="00C420AC"/>
    <w:rsid w:val="00C42832"/>
    <w:rsid w:val="00C446B0"/>
    <w:rsid w:val="00C44B10"/>
    <w:rsid w:val="00C568E6"/>
    <w:rsid w:val="00C60A64"/>
    <w:rsid w:val="00C64B66"/>
    <w:rsid w:val="00C70F38"/>
    <w:rsid w:val="00C731C1"/>
    <w:rsid w:val="00C8030C"/>
    <w:rsid w:val="00C814CD"/>
    <w:rsid w:val="00C903DD"/>
    <w:rsid w:val="00C97693"/>
    <w:rsid w:val="00CB0A1F"/>
    <w:rsid w:val="00CC3D85"/>
    <w:rsid w:val="00CD00D9"/>
    <w:rsid w:val="00CE11EF"/>
    <w:rsid w:val="00CF5544"/>
    <w:rsid w:val="00D0485C"/>
    <w:rsid w:val="00D16DCB"/>
    <w:rsid w:val="00D239E7"/>
    <w:rsid w:val="00D265D9"/>
    <w:rsid w:val="00D269E1"/>
    <w:rsid w:val="00D35289"/>
    <w:rsid w:val="00D4345F"/>
    <w:rsid w:val="00D43A60"/>
    <w:rsid w:val="00D52ACA"/>
    <w:rsid w:val="00D54508"/>
    <w:rsid w:val="00D5456A"/>
    <w:rsid w:val="00D54C2A"/>
    <w:rsid w:val="00D553AE"/>
    <w:rsid w:val="00D55E35"/>
    <w:rsid w:val="00D814DF"/>
    <w:rsid w:val="00DA27E1"/>
    <w:rsid w:val="00DA31BA"/>
    <w:rsid w:val="00DC147A"/>
    <w:rsid w:val="00DC3BC4"/>
    <w:rsid w:val="00DD0174"/>
    <w:rsid w:val="00DD0E45"/>
    <w:rsid w:val="00DD58E5"/>
    <w:rsid w:val="00DD7E81"/>
    <w:rsid w:val="00DE3894"/>
    <w:rsid w:val="00DE72B9"/>
    <w:rsid w:val="00DF0547"/>
    <w:rsid w:val="00DF35BE"/>
    <w:rsid w:val="00DF5711"/>
    <w:rsid w:val="00E005E7"/>
    <w:rsid w:val="00E014CA"/>
    <w:rsid w:val="00E049A4"/>
    <w:rsid w:val="00E16084"/>
    <w:rsid w:val="00E444D1"/>
    <w:rsid w:val="00E44935"/>
    <w:rsid w:val="00E45FDD"/>
    <w:rsid w:val="00E51423"/>
    <w:rsid w:val="00E527E9"/>
    <w:rsid w:val="00E76F88"/>
    <w:rsid w:val="00E77E41"/>
    <w:rsid w:val="00E8163B"/>
    <w:rsid w:val="00E82EAD"/>
    <w:rsid w:val="00E85AE0"/>
    <w:rsid w:val="00E90B5F"/>
    <w:rsid w:val="00E91CD4"/>
    <w:rsid w:val="00E93724"/>
    <w:rsid w:val="00EA1CAD"/>
    <w:rsid w:val="00EA7211"/>
    <w:rsid w:val="00EC4321"/>
    <w:rsid w:val="00EC4990"/>
    <w:rsid w:val="00F07A4D"/>
    <w:rsid w:val="00F10A4E"/>
    <w:rsid w:val="00F407CF"/>
    <w:rsid w:val="00F5284E"/>
    <w:rsid w:val="00F534EC"/>
    <w:rsid w:val="00F60C35"/>
    <w:rsid w:val="00F8639D"/>
    <w:rsid w:val="00F90CCA"/>
    <w:rsid w:val="00F926BF"/>
    <w:rsid w:val="00F92EBF"/>
    <w:rsid w:val="00FC6E16"/>
    <w:rsid w:val="00FD6CFC"/>
    <w:rsid w:val="00FE0BFC"/>
    <w:rsid w:val="00FF1881"/>
    <w:rsid w:val="00FF2772"/>
    <w:rsid w:val="00FF3A8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fr-FR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fr-FR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01553A"/>
    <w:rPr>
      <w:sz w:val="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3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www.youtube.com/channel/UCKgSLvI1SYKOTpEToycAz7Q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communications@stellanti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cebook.com/Stellantis/" TargetMode="External"/><Relationship Id="rId17" Type="http://schemas.openxmlformats.org/officeDocument/2006/relationships/hyperlink" Target="https://www.linkedin.com/company/6625633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s://www.youtube.com/channel/UCKgSLvI1SYKOTpEToycAz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66256333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stellantis.com" TargetMode="External"/><Relationship Id="rId14" Type="http://schemas.openxmlformats.org/officeDocument/2006/relationships/hyperlink" Target="https://facebook.com/Stellantis/" TargetMode="External"/><Relationship Id="rId22" Type="http://schemas.openxmlformats.org/officeDocument/2006/relationships/hyperlink" Target="http://www.stellantis.com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0F7AE85564A47AA9A988DA8B1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6B6B-8E9C-4492-9717-F1F1DAD28B12}"/>
      </w:docPartPr>
      <w:docPartBody>
        <w:p w:rsidR="00BC117A" w:rsidRDefault="00174760" w:rsidP="00174760">
          <w:pPr>
            <w:pStyle w:val="ED10F7AE85564A47AA9A988DA8B147A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A1EC6C7FBA84FE3B7280D245CB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2DF4-7A2B-4E77-AE07-E922FA612930}"/>
      </w:docPartPr>
      <w:docPartBody>
        <w:p w:rsidR="00BC117A" w:rsidRDefault="00174760" w:rsidP="00174760">
          <w:pPr>
            <w:pStyle w:val="5A1EC6C7FBA84FE3B7280D245CB780F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09"/>
    <w:rsid w:val="000152AA"/>
    <w:rsid w:val="00123B63"/>
    <w:rsid w:val="00173102"/>
    <w:rsid w:val="00174760"/>
    <w:rsid w:val="001C3DFD"/>
    <w:rsid w:val="002D4C03"/>
    <w:rsid w:val="002F20ED"/>
    <w:rsid w:val="003471CB"/>
    <w:rsid w:val="00356096"/>
    <w:rsid w:val="003B1C07"/>
    <w:rsid w:val="00491188"/>
    <w:rsid w:val="004C0E4E"/>
    <w:rsid w:val="005C1ACF"/>
    <w:rsid w:val="005D2EB8"/>
    <w:rsid w:val="00654DD0"/>
    <w:rsid w:val="00664402"/>
    <w:rsid w:val="007761EE"/>
    <w:rsid w:val="007E2D65"/>
    <w:rsid w:val="0083352D"/>
    <w:rsid w:val="00874D81"/>
    <w:rsid w:val="00892708"/>
    <w:rsid w:val="0092558C"/>
    <w:rsid w:val="00980239"/>
    <w:rsid w:val="009D3804"/>
    <w:rsid w:val="009D4262"/>
    <w:rsid w:val="00A12D1F"/>
    <w:rsid w:val="00A46EB3"/>
    <w:rsid w:val="00B45101"/>
    <w:rsid w:val="00B52414"/>
    <w:rsid w:val="00B92004"/>
    <w:rsid w:val="00BC117A"/>
    <w:rsid w:val="00CC03F8"/>
    <w:rsid w:val="00DE04BB"/>
    <w:rsid w:val="00DF1685"/>
    <w:rsid w:val="00EB331A"/>
    <w:rsid w:val="00F24C09"/>
    <w:rsid w:val="00F416A9"/>
    <w:rsid w:val="00F543F7"/>
    <w:rsid w:val="00FC5E38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60"/>
    <w:rPr>
      <w:color w:val="808080"/>
    </w:rPr>
  </w:style>
  <w:style w:type="paragraph" w:customStyle="1" w:styleId="ED10F7AE85564A47AA9A988DA8B147AC">
    <w:name w:val="ED10F7AE85564A47AA9A988DA8B147AC"/>
    <w:rsid w:val="00174760"/>
  </w:style>
  <w:style w:type="paragraph" w:customStyle="1" w:styleId="5A1EC6C7FBA84FE3B7280D245CB780F0">
    <w:name w:val="5A1EC6C7FBA84FE3B7280D245CB780F0"/>
    <w:rsid w:val="00174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481F-9300-410C-8CDC-3CA3911D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5</cp:revision>
  <cp:lastPrinted>2022-02-06T16:49:00Z</cp:lastPrinted>
  <dcterms:created xsi:type="dcterms:W3CDTF">2024-04-16T14:43:00Z</dcterms:created>
  <dcterms:modified xsi:type="dcterms:W3CDTF">2024-04-16T14:47:00Z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725ca717-11da-4935-b601-f527b9741f2e_Enabled">
    <vt:lpwstr>true</vt:lpwstr>
  </property>
  <property fmtid="{D5CDD505-2E9C-101B-9397-08002B2CF9AE}" pid="5" name="MSIP_Label_725ca717-11da-4935-b601-f527b9741f2e_SetDate">
    <vt:lpwstr>2024-03-26T12:26:30Z</vt:lpwstr>
  </property>
  <property fmtid="{D5CDD505-2E9C-101B-9397-08002B2CF9AE}" pid="6" name="MSIP_Label_725ca717-11da-4935-b601-f527b9741f2e_Method">
    <vt:lpwstr>Standard</vt:lpwstr>
  </property>
  <property fmtid="{D5CDD505-2E9C-101B-9397-08002B2CF9AE}" pid="7" name="MSIP_Label_725ca717-11da-4935-b601-f527b9741f2e_Name">
    <vt:lpwstr>C2 - Internal</vt:lpwstr>
  </property>
  <property fmtid="{D5CDD505-2E9C-101B-9397-08002B2CF9AE}" pid="8" name="MSIP_Label_725ca717-11da-4935-b601-f527b9741f2e_SiteId">
    <vt:lpwstr>d852d5cd-724c-4128-8812-ffa5db3f8507</vt:lpwstr>
  </property>
  <property fmtid="{D5CDD505-2E9C-101B-9397-08002B2CF9AE}" pid="9" name="MSIP_Label_725ca717-11da-4935-b601-f527b9741f2e_ActionId">
    <vt:lpwstr>5826c5e3-b006-42a0-bcc9-4cbec277ff77</vt:lpwstr>
  </property>
  <property fmtid="{D5CDD505-2E9C-101B-9397-08002B2CF9AE}" pid="10" name="MSIP_Label_725ca717-11da-4935-b601-f527b9741f2e_ContentBits">
    <vt:lpwstr>0</vt:lpwstr>
  </property>
</Properties>
</file>